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03" w:rsidRPr="004F1503" w:rsidRDefault="004F1503" w:rsidP="004F15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3668"/>
        <w:tblW w:w="9720" w:type="dxa"/>
        <w:tblLayout w:type="fixed"/>
        <w:tblLook w:val="04A0" w:firstRow="1" w:lastRow="0" w:firstColumn="1" w:lastColumn="0" w:noHBand="0" w:noVBand="1"/>
      </w:tblPr>
      <w:tblGrid>
        <w:gridCol w:w="4501"/>
        <w:gridCol w:w="1184"/>
        <w:gridCol w:w="4035"/>
      </w:tblGrid>
      <w:tr w:rsidR="004F1503" w:rsidRPr="004F1503" w:rsidTr="004F1503">
        <w:tc>
          <w:tcPr>
            <w:tcW w:w="4501" w:type="dxa"/>
          </w:tcPr>
          <w:p w:rsidR="004F1503" w:rsidRPr="004F1503" w:rsidRDefault="004F1503" w:rsidP="004F1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районыны</w:t>
            </w:r>
            <w:r w:rsidRPr="004F15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</w:t>
            </w:r>
            <w:r w:rsidRPr="004F15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</w:t>
            </w:r>
            <w:proofErr w:type="gramStart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4F15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ӘҺ</w:t>
            </w:r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184" w:type="dxa"/>
          </w:tcPr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364AE9" wp14:editId="3AE4940D">
                  <wp:extent cx="712470" cy="914400"/>
                  <wp:effectExtent l="0" t="0" r="0" b="0"/>
                  <wp:docPr id="1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4F1503" w:rsidRPr="004F1503" w:rsidRDefault="004F1503" w:rsidP="004F1503">
            <w:pPr>
              <w:spacing w:before="240" w:after="60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F15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   Совет сельского поселения</w:t>
            </w:r>
          </w:p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 w:rsidRPr="004F1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Балышлинский</w:t>
            </w:r>
            <w:proofErr w:type="spellEnd"/>
            <w:r w:rsidRPr="004F1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4F1503" w:rsidRPr="004F1503" w:rsidRDefault="004F1503" w:rsidP="004F1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tbl>
      <w:tblPr>
        <w:tblpPr w:leftFromText="180" w:rightFromText="180" w:bottomFromText="200" w:vertAnchor="page" w:horzAnchor="margin" w:tblpXSpec="center" w:tblpY="2146"/>
        <w:tblW w:w="11892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25"/>
        <w:gridCol w:w="4787"/>
        <w:gridCol w:w="1706"/>
        <w:gridCol w:w="3156"/>
        <w:gridCol w:w="1118"/>
      </w:tblGrid>
      <w:tr w:rsidR="004F1503" w:rsidRPr="004F1503" w:rsidTr="004F1503">
        <w:trPr>
          <w:gridAfter w:val="1"/>
          <w:wAfter w:w="1118" w:type="dxa"/>
          <w:cantSplit/>
        </w:trPr>
        <w:tc>
          <w:tcPr>
            <w:tcW w:w="10774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1503" w:rsidRPr="004F1503" w:rsidRDefault="004F1503" w:rsidP="004F1503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F1503" w:rsidRPr="004F1503" w:rsidTr="004F1503">
        <w:trPr>
          <w:gridBefore w:val="1"/>
          <w:wBefore w:w="1125" w:type="dxa"/>
          <w:trHeight w:val="719"/>
        </w:trPr>
        <w:tc>
          <w:tcPr>
            <w:tcW w:w="4787" w:type="dxa"/>
          </w:tcPr>
          <w:p w:rsidR="004F1503" w:rsidRPr="004F1503" w:rsidRDefault="004F1503" w:rsidP="004F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be-BY" w:eastAsia="ru-RU"/>
              </w:rPr>
            </w:pPr>
          </w:p>
          <w:p w:rsidR="004F1503" w:rsidRPr="004F1503" w:rsidRDefault="004F1503" w:rsidP="004F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be-BY" w:eastAsia="ru-RU"/>
              </w:rPr>
            </w:pPr>
            <w:r w:rsidRPr="004F1503"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be-BY" w:eastAsia="ru-RU"/>
              </w:rPr>
              <w:t xml:space="preserve">                Ҡ</w:t>
            </w:r>
            <w:r w:rsidRPr="004F1503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>АРАР</w:t>
            </w:r>
            <w:r w:rsidRPr="004F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F1503"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be-BY" w:eastAsia="ru-RU"/>
              </w:rPr>
              <w:t xml:space="preserve">              </w:t>
            </w:r>
          </w:p>
        </w:tc>
        <w:tc>
          <w:tcPr>
            <w:tcW w:w="1706" w:type="dxa"/>
          </w:tcPr>
          <w:p w:rsidR="004F1503" w:rsidRPr="004F1503" w:rsidRDefault="004F1503" w:rsidP="004F150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F1503" w:rsidRPr="004F1503" w:rsidRDefault="004F1503" w:rsidP="004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24"/>
                <w:lang w:eastAsia="ru-RU"/>
              </w:rPr>
            </w:pPr>
          </w:p>
        </w:tc>
        <w:tc>
          <w:tcPr>
            <w:tcW w:w="4274" w:type="dxa"/>
            <w:gridSpan w:val="2"/>
            <w:hideMark/>
          </w:tcPr>
          <w:p w:rsidR="004F1503" w:rsidRPr="004F1503" w:rsidRDefault="004F1503" w:rsidP="004F1503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</w:t>
            </w:r>
          </w:p>
          <w:p w:rsidR="004F1503" w:rsidRPr="004F1503" w:rsidRDefault="004F1503" w:rsidP="004F1503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РЕШЕНИЕ</w:t>
            </w:r>
            <w:r w:rsidRPr="004F15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   </w:t>
            </w:r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</w:t>
            </w:r>
            <w:r w:rsidRPr="004F15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4F150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                                          </w:t>
            </w:r>
          </w:p>
          <w:p w:rsidR="004F1503" w:rsidRPr="004F1503" w:rsidRDefault="004F1503" w:rsidP="004F1503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4F1503" w:rsidRPr="004F1503" w:rsidRDefault="004F1503" w:rsidP="004F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</w:t>
      </w:r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Республики Башкортостан от 18 января 2014 года № 265</w:t>
      </w:r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«Об утверждении Положения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</w:t>
      </w:r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4F1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Балышлин</w:t>
      </w:r>
      <w:r w:rsidRPr="004F1503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4F15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F150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четвертого созыва решил: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1. Внести в Положение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Балышлин</w:t>
      </w:r>
      <w:r w:rsidRPr="004F1503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150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Балышлин</w:t>
      </w:r>
      <w:r w:rsidRPr="004F1503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4F15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F1503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18 января 2014 года № 265</w:t>
      </w:r>
      <w:r w:rsidRPr="004F1503">
        <w:rPr>
          <w:rFonts w:ascii="Times New Roman" w:eastAsia="Times New Roman" w:hAnsi="Times New Roman" w:cs="Times New Roman"/>
          <w:sz w:val="24"/>
          <w:szCs w:val="24"/>
        </w:rPr>
        <w:t xml:space="preserve"> (с последующими изменениями) следующие изменения: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статье 14: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eterburg" w:eastAsia="Times New Roman" w:hAnsi="Peterburg" w:cs="Peterburg"/>
          <w:sz w:val="24"/>
          <w:szCs w:val="24"/>
          <w:lang w:eastAsia="ru-RU"/>
        </w:rPr>
      </w:pPr>
      <w:proofErr w:type="gramStart"/>
      <w:r w:rsidRPr="004F1503">
        <w:rPr>
          <w:rFonts w:ascii="Peterburg" w:eastAsia="Times New Roman" w:hAnsi="Peterburg" w:cs="Peterburg"/>
          <w:sz w:val="24"/>
          <w:szCs w:val="24"/>
          <w:lang w:eastAsia="ru-RU"/>
        </w:rPr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4F1503">
        <w:rPr>
          <w:rFonts w:ascii="Peterburg" w:eastAsia="Times New Roman" w:hAnsi="Peterburg" w:cs="Peterburg"/>
          <w:sz w:val="24"/>
          <w:szCs w:val="24"/>
          <w:lang w:eastAsia="ru-RU"/>
        </w:rPr>
        <w:t xml:space="preserve"> винограда), выполнением работ, оказанием услуг».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4 изложить в следующей редакции: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субсидий».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пункт 6 изложить в следующей редакции: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законе (решении)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указанных субсидий из местных бюджетов, если данный порядок не определен решениями, предусмотренными </w:t>
      </w:r>
      <w:hyperlink r:id="rId6" w:anchor="Par0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пунктом 7 следующего содержания: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Решения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указанных субсидий из местного бюджета принимаются в форме муниципальных правовых актов администрации сельского поселения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 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субсидий, предусмотренных </w:t>
      </w:r>
      <w:hyperlink r:id="rId8" w:anchor="Par0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r:id="rId9" w:anchor="Par0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регулирующими порядок предоставления субсидий из местного бюджета, решение о наличии потребности в использовании этих средств на цели предоставления субсидии в текущем финансовом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bookmarkStart w:id="0" w:name="Par8"/>
    <w:bookmarkEnd w:id="0"/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"consultantplus://offline/ref=6D47C90CC753168C04D7EE7D2C846BF7B682F916D30DECB39AFC9826EAB3B098BD8719434B701ADE8B5B7E6B0E430548A0254B80E75985537509E" </w:instrText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субсидий, предусмотренных настоящим пунктом, из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сельского поселения».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дополнить пунктом 8 следующего содержания: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10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6-7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настоящей статьи, и заключение соглашений о </w:t>
      </w:r>
      <w:proofErr w:type="spell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</w:t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решениями администрации сельского поселения, принимаемыми в определяемом ими </w:t>
      </w:r>
      <w:hyperlink r:id="rId12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(соглашения) о предоставлении субсидий, указанные в </w:t>
      </w:r>
      <w:hyperlink r:id="rId13" w:anchor="Par0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статье 15: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пункт 3 изложить в следующей редакции: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предоставлении субсидий, указанных в </w:t>
      </w:r>
      <w:hyperlink r:id="rId14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учреждениями»;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4 изложить в следующей редакции: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организациям, не являющимся казенными учреждениями, грантов в форме субсидий, в том числе предоставляемых органами местной администрации по результатам проводимых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Порядок предоставления указанных субсидий из местного бюджета, если данный порядок не определен решениями, предусмотренными </w:t>
      </w:r>
      <w:hyperlink r:id="rId15" w:anchor="Par0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5 следующего содержания;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«Договоры (соглашения) о предоставлении субсидий, предусмотренных </w:t>
      </w:r>
      <w:hyperlink r:id="rId16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сельского поселения».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10: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 абзац 2 изложить в следующей редакции: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«Муниципальное задание на оказание муниципальных услуг (выполнение работ) муниципальными учреждениями формируется в </w:t>
      </w:r>
      <w:hyperlink r:id="rId18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администрацией сельского поселения, на срок до трех лет (с возможным уточнением при составлении проекта бюджета).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задание в части муниципальных услуг, оказываемых муниципальными учреждениями сельского поселения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9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Правительством Российской Федерации». 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статье 11 пункт 2 изложить в следующей редакции: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20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72 Бюджетного кодекса РФ».</w:t>
      </w:r>
      <w:proofErr w:type="gramEnd"/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Статью 21 признать утратившей силу.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статье 36: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абзац 3 изложить в следующей редакции: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бюджета поселения составляется и утверждается сроком на три года (очередной финансовый год и плановый период)»;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 исключить абзац 4;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Статью 37 признать утратившей силу.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1.8.В статье 48 пункт 3 изложить в следующей редакции: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сводную бюджетную роспись изменения вносятся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Благоварского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случаях, установленных Бюджетным </w:t>
      </w:r>
      <w:hyperlink r:id="rId21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следующим основаниям: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осуществления выплат, сокращающих долговые обязательства сельского поселения;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перераспределения бюджетных ассигнований между видами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бюджета сельского поселения при условии, что увеличение указанных бюджетных ассигнований не превышает 10 процентов от установленных по соответствующим разделам, подразделам, статьям и видам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перераспределения бюджетных ассигнований, предусмотренных муниципальной адресной инвестиционной программой;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перераспределения бюджетных ассигнований между главными распорядителями средств бюджета сельского поселения в соответствии с решениями администрации сельского поселения;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случае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остатков средств бюджета сельского поселения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текущего года;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использования средств Резервного фонда сельского поселения;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принятия администрацией сельского поселения решений об утверждении муниципальных программ и о внесении изменений в муниципальные программы сельского поселения;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случае перераспределения бюджетных ассигнований в пределах,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</w:t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работ) и субсидий на иные цели, между разделами, подразделами, целевыми статьями, группами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случае перераспределения бюджетных ассигнований, предусмотренных главным распорядителям средств бюджета сельского поселения на оплату труда 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главой сельского поселения решений о сокращении численности этих работников.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сельского поселения, указанные в </w:t>
      </w:r>
      <w:hyperlink r:id="rId22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пункта 3 статьи 217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кодекса, предусматриваются главным распорядителям средств бюджета сельского поселения в соответствии  с решением о бюджете сельского поселения. Порядок использования (порядок принятия решений об использовании, о перераспределении) указанных средств устанавливается администрацией сельского поселения.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основания внесения изменений </w:t>
      </w:r>
      <w:proofErr w:type="gram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сводную бюджетную роспись в соответствии с решением руководителя финансового органа без внесения изменений в решение</w:t>
      </w:r>
      <w:proofErr w:type="gram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сельского поселения могут устанавливаться в решении о бюджете </w:t>
      </w:r>
      <w:proofErr w:type="spell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Благоварского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статье 51 пункт 2 изложить в следующей редакции: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статье 60: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исключить подпункт 3 пункта 1;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«Полномочия органа внешнего муниципального финансового контроля регламентируются Бюджетным </w:t>
      </w:r>
      <w:hyperlink r:id="rId23" w:history="1">
        <w:r w:rsidRPr="004F1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нормативными правовыми актами Республики Башкортостан и муниципальными правовыми актами поселения, принятыми представительным органом поселения».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обнародованию в установленном порядке и размещению на официальном сайте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</w:t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сети Интернет.</w:t>
      </w:r>
    </w:p>
    <w:p w:rsidR="004F1503" w:rsidRPr="004F1503" w:rsidRDefault="004F1503" w:rsidP="004F1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обнародования.</w:t>
      </w:r>
    </w:p>
    <w:p w:rsidR="004F1503" w:rsidRPr="004F1503" w:rsidRDefault="004F1503" w:rsidP="004F150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03" w:rsidRPr="004F1503" w:rsidRDefault="004F1503" w:rsidP="004F15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F1503" w:rsidRPr="004F1503" w:rsidRDefault="004F1503" w:rsidP="004F15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</w:t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</w:p>
    <w:p w:rsidR="004F1503" w:rsidRPr="004F1503" w:rsidRDefault="004F1503" w:rsidP="004F15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</w:p>
    <w:bookmarkEnd w:id="2"/>
    <w:p w:rsidR="004F1503" w:rsidRPr="004F1503" w:rsidRDefault="004F1503" w:rsidP="004F15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03" w:rsidRPr="004F1503" w:rsidRDefault="004F1503" w:rsidP="004F15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03" w:rsidRDefault="004F1503" w:rsidP="004F15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Сарайлы</w:t>
      </w:r>
      <w:proofErr w:type="spellEnd"/>
    </w:p>
    <w:p w:rsidR="004F1503" w:rsidRPr="004F1503" w:rsidRDefault="004F1503" w:rsidP="004F15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г.</w:t>
      </w:r>
    </w:p>
    <w:p w:rsidR="004F1503" w:rsidRPr="004F1503" w:rsidRDefault="004F1503" w:rsidP="004F15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298-1</w:t>
      </w:r>
    </w:p>
    <w:p w:rsidR="004F1503" w:rsidRPr="004F1503" w:rsidRDefault="004F1503" w:rsidP="004F15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AD2" w:rsidRDefault="00014AD2"/>
    <w:sectPr w:rsidR="00014AD2" w:rsidSect="004F15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84"/>
    <w:rsid w:val="00014AD2"/>
    <w:rsid w:val="00275009"/>
    <w:rsid w:val="004F1503"/>
    <w:rsid w:val="00737A84"/>
    <w:rsid w:val="007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0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0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%20(1).doc" TargetMode="External"/><Relationship Id="rId13" Type="http://schemas.openxmlformats.org/officeDocument/2006/relationships/hyperlink" Target="file:///C:\Users\&#1040;&#1076;&#1084;&#1080;&#1085;\Deskto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%20(1).doc" TargetMode="External"/><Relationship Id="rId18" Type="http://schemas.openxmlformats.org/officeDocument/2006/relationships/hyperlink" Target="consultantplus://offline/ref=A80C0B2E311A47EEE2377809E08417CE49F992394D8339C5CD71C66C17BBE16B6540153EB7424C9033536044A678FEBC9E6404F68492BC89x5j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5152B76074033945CDAB40FB0FD4077C5AD8DDAF86E946898DF6B750ECCBA9654F77BEF4FB5E53CD1F376AE6B9344EA371FB0F0EC9014CXDK2J" TargetMode="External"/><Relationship Id="rId7" Type="http://schemas.openxmlformats.org/officeDocument/2006/relationships/hyperlink" Target="consultantplus://offline/ref=6D47C90CC753168C04D7EE7D2C846BF7B683F910D201ECB39AFC9826EAB3B098BD8719434B701ADF835B7E6B0E430548A0254B80E75985537509E" TargetMode="External"/><Relationship Id="rId12" Type="http://schemas.openxmlformats.org/officeDocument/2006/relationships/hyperlink" Target="consultantplus://offline/ref=6ABFC1AD7749DC72EA24366D90B4601C86B31563BCD9D567A02EB8142EF26A1C08E030BFA6986B1FB30EFE77A40E8F0D2549C5C8D096D02E1325E" TargetMode="External"/><Relationship Id="rId17" Type="http://schemas.openxmlformats.org/officeDocument/2006/relationships/hyperlink" Target="consultantplus://offline/ref=D0D89C7C18108B5567AD7782F58E9D1FFD93BDB1F710B6E7364D3AC7DC91D412E39DD1CD8EEE87AB578173744906F590D22870BD498E7120H0BB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D89C7C18108B5567AD7782F58E9D1FFD93BDB1F710B6E7364D3AC7DC91D412E39DD1CD8EEE86AF508173744906F590D22870BD498E7120H0BBM" TargetMode="External"/><Relationship Id="rId20" Type="http://schemas.openxmlformats.org/officeDocument/2006/relationships/hyperlink" Target="consultantplus://offline/ref=C8B37CDEA50427491AE6E7C2CD0E26087CE15C06568EEF0E9B27D7BE1E90CA84D89F5BB3B7BD475B72F28B77609316250B590CC1B12305BD452CC9ABT7MB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eskto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%20(1).doc" TargetMode="External"/><Relationship Id="rId11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&#1040;&#1076;&#1084;&#1080;&#1085;\Deskto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%20(1).doc" TargetMode="External"/><Relationship Id="rId23" Type="http://schemas.openxmlformats.org/officeDocument/2006/relationships/hyperlink" Target="consultantplus://offline/ref=329E2D102B79D28D19F2991AE794B3EDAEB27B7C0B7EEAF71691B34E7934BD74DBB19C4E0ABEA37B2590CDD0B0C499912CE14D5DBB2BEEA6U8O6K" TargetMode="External"/><Relationship Id="rId10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19" Type="http://schemas.openxmlformats.org/officeDocument/2006/relationships/hyperlink" Target="consultantplus://offline/ref=A80C0B2E311A47EEE2377809E08417CE48F194344C8A39C5CD71C66C17BBE16B6540153EB7424C9032536044A678FEBC9E6404F68492BC89x5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%20(1).doc" TargetMode="External"/><Relationship Id="rId14" Type="http://schemas.openxmlformats.org/officeDocument/2006/relationships/hyperlink" Target="consultantplus://offline/ref=25DE265F65F88AE6A3B9ECFD879C6611BE8ABA8A8EA618976CF81C599A10C9DEDC965F4A28BE2900B25283FC62343DC8DD078D607B74v6h8E" TargetMode="External"/><Relationship Id="rId22" Type="http://schemas.openxmlformats.org/officeDocument/2006/relationships/hyperlink" Target="consultantplus://offline/ref=BB5152B76074033945CDAB40FB0FD4077C5AD8DDAF86E946898DF6B750ECCBA9654F77BCF5F0565E9045276EAFEC3E50A46DE50F10CAX0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2020-05-22T04:17:00Z</cp:lastPrinted>
  <dcterms:created xsi:type="dcterms:W3CDTF">2020-04-24T11:48:00Z</dcterms:created>
  <dcterms:modified xsi:type="dcterms:W3CDTF">2020-05-22T04:17:00Z</dcterms:modified>
</cp:coreProperties>
</file>