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F2" w:rsidRDefault="00444C6B">
      <w:pPr>
        <w:pStyle w:val="20"/>
        <w:shd w:val="clear" w:color="auto" w:fill="auto"/>
        <w:spacing w:after="166" w:line="210" w:lineRule="exact"/>
        <w:ind w:left="20"/>
      </w:pPr>
      <w:r>
        <w:t>Что такое экстремизм!</w:t>
      </w:r>
    </w:p>
    <w:p w:rsidR="00103CF2" w:rsidRDefault="00444C6B">
      <w:pPr>
        <w:pStyle w:val="1"/>
        <w:shd w:val="clear" w:color="auto" w:fill="auto"/>
        <w:spacing w:before="0" w:after="198"/>
        <w:ind w:left="20" w:right="300" w:firstLine="0"/>
      </w:pPr>
      <w:r>
        <w:t xml:space="preserve">Экстремизм (от фр. </w:t>
      </w:r>
      <w:proofErr w:type="spellStart"/>
      <w:r>
        <w:rPr>
          <w:lang w:val="en-US"/>
        </w:rPr>
        <w:t>extremisme</w:t>
      </w:r>
      <w:proofErr w:type="spellEnd"/>
      <w:r w:rsidRPr="00E86AB1">
        <w:t xml:space="preserve">, </w:t>
      </w:r>
      <w:r>
        <w:t xml:space="preserve">от лат. </w:t>
      </w:r>
      <w:proofErr w:type="spellStart"/>
      <w:r>
        <w:rPr>
          <w:lang w:val="en-US"/>
        </w:rPr>
        <w:t>extremus</w:t>
      </w:r>
      <w:proofErr w:type="spellEnd"/>
      <w:r w:rsidRPr="00E86AB1">
        <w:t xml:space="preserve"> </w:t>
      </w:r>
      <w:r>
        <w:t>— крайний) — приверженность крайним взглядам и, в особенности, мерам (обычно в политике). Среди таких мер можно отметить провокацию беспорядков, гражданское неповиновение, террористические акции, методы партизанской войны. Наиболее радикально настроенные экстремисты часто отрицают в принципе какие-либо компромиссы, переговоры, соглашения. Росту экстремизма обычно способствуют: социально-экономические кризисы, резкое падение жизненного уровня основной массы населения, тоталитарный политический режим с подавлением властями оппозиции, преследованием инакомыслия. В таких ситуациях крайние меры могут стать для некоторых лиц и организаций единственной возможностью реально повлиять на ситуацию, особенно если складывается революционная ситуация или государство охвачено длительной гражданской войной — можно говорить о «вынужденном экстремизме».</w:t>
      </w:r>
    </w:p>
    <w:p w:rsidR="00103CF2" w:rsidRDefault="00444C6B">
      <w:pPr>
        <w:pStyle w:val="20"/>
        <w:numPr>
          <w:ilvl w:val="0"/>
          <w:numId w:val="1"/>
        </w:numPr>
        <w:shd w:val="clear" w:color="auto" w:fill="auto"/>
        <w:tabs>
          <w:tab w:val="left" w:pos="236"/>
        </w:tabs>
        <w:spacing w:after="161" w:line="210" w:lineRule="exact"/>
        <w:ind w:left="20"/>
        <w:jc w:val="both"/>
      </w:pPr>
      <w:r>
        <w:t>Проблема определения понятия</w:t>
      </w:r>
    </w:p>
    <w:p w:rsidR="00103CF2" w:rsidRDefault="00444C6B">
      <w:pPr>
        <w:pStyle w:val="1"/>
        <w:shd w:val="clear" w:color="auto" w:fill="auto"/>
        <w:spacing w:before="0"/>
        <w:ind w:left="20" w:right="300" w:firstLine="0"/>
      </w:pPr>
      <w:r>
        <w:t xml:space="preserve">В разных странах и в разные времена было дано много разных юридических и научных определений понятию «экстремизм». Единого определения на сегодняшний день не существует. </w:t>
      </w:r>
      <w:proofErr w:type="gramStart"/>
      <w:r>
        <w:t xml:space="preserve">Доктор Питер Т. </w:t>
      </w:r>
      <w:proofErr w:type="spellStart"/>
      <w:r>
        <w:t>Колеман</w:t>
      </w:r>
      <w:proofErr w:type="spellEnd"/>
      <w:r>
        <w:t xml:space="preserve"> (англ. </w:t>
      </w:r>
      <w:r>
        <w:rPr>
          <w:lang w:val="en-US"/>
        </w:rPr>
        <w:t>Peter</w:t>
      </w:r>
      <w:r w:rsidRPr="00E86AB1">
        <w:t xml:space="preserve"> </w:t>
      </w:r>
      <w:r>
        <w:rPr>
          <w:lang w:val="en-US"/>
        </w:rPr>
        <w:t>T</w:t>
      </w:r>
      <w:r w:rsidRPr="00E86AB1">
        <w:t>.</w:t>
      </w:r>
      <w:proofErr w:type="gramEnd"/>
      <w:r w:rsidRPr="00E86AB1">
        <w:t xml:space="preserve"> </w:t>
      </w:r>
      <w:proofErr w:type="gramStart"/>
      <w:r>
        <w:rPr>
          <w:lang w:val="en-US"/>
        </w:rPr>
        <w:t>Coleman</w:t>
      </w:r>
      <w:r w:rsidRPr="00E86AB1">
        <w:t xml:space="preserve">) </w:t>
      </w:r>
      <w:r>
        <w:t xml:space="preserve">и доктор </w:t>
      </w:r>
      <w:proofErr w:type="spellStart"/>
      <w:r>
        <w:t>Андреа</w:t>
      </w:r>
      <w:proofErr w:type="spellEnd"/>
      <w:r>
        <w:t xml:space="preserve"> </w:t>
      </w:r>
      <w:proofErr w:type="spellStart"/>
      <w:r>
        <w:t>Бартоли</w:t>
      </w:r>
      <w:proofErr w:type="spellEnd"/>
      <w:r>
        <w:t xml:space="preserve"> (англ.</w:t>
      </w:r>
      <w:proofErr w:type="gramEnd"/>
      <w:r>
        <w:t xml:space="preserve"> </w:t>
      </w:r>
      <w:r>
        <w:rPr>
          <w:lang w:val="en-US"/>
        </w:rPr>
        <w:t>Andrea</w:t>
      </w:r>
      <w:r w:rsidRPr="00E86AB1">
        <w:t xml:space="preserve"> </w:t>
      </w:r>
      <w:proofErr w:type="spellStart"/>
      <w:r>
        <w:rPr>
          <w:lang w:val="en-US"/>
        </w:rPr>
        <w:t>Bartoli</w:t>
      </w:r>
      <w:proofErr w:type="spellEnd"/>
      <w:r w:rsidRPr="00E86AB1">
        <w:t xml:space="preserve">) </w:t>
      </w:r>
      <w:r>
        <w:t xml:space="preserve">в своей работе </w:t>
      </w:r>
      <w:r w:rsidRPr="00E86AB1">
        <w:t>«</w:t>
      </w:r>
      <w:r>
        <w:rPr>
          <w:lang w:val="en-US"/>
        </w:rPr>
        <w:t>Addressing</w:t>
      </w:r>
      <w:r w:rsidRPr="00E86AB1">
        <w:t xml:space="preserve"> </w:t>
      </w:r>
      <w:r>
        <w:rPr>
          <w:lang w:val="en-US"/>
        </w:rPr>
        <w:t>Extremism</w:t>
      </w:r>
      <w:r w:rsidRPr="00E86AB1">
        <w:t xml:space="preserve">» </w:t>
      </w:r>
      <w:r>
        <w:t>дали краткий обзор предлагаемых определений этого понятия:</w:t>
      </w:r>
    </w:p>
    <w:p w:rsidR="00103CF2" w:rsidRDefault="00444C6B">
      <w:pPr>
        <w:pStyle w:val="1"/>
        <w:shd w:val="clear" w:color="auto" w:fill="auto"/>
        <w:spacing w:before="0"/>
        <w:ind w:left="20" w:right="300" w:firstLine="0"/>
      </w:pPr>
      <w:r>
        <w:t xml:space="preserve">Экстремизм — это на самом деле сложное явление, несмотря на то, что его сложность часто бывает трудно увидеть и понять. Проще всего определить его как деятельность (а также убеждения, отношение к чему-то или кому-то, чувства, действия, стратегии) личности, далёкие от </w:t>
      </w:r>
      <w:proofErr w:type="gramStart"/>
      <w:r>
        <w:t>обычных</w:t>
      </w:r>
      <w:proofErr w:type="gramEnd"/>
      <w:r>
        <w:t xml:space="preserve"> общепринятых. В обстановке конфликта — демонстрация жёсткой формы разрешения конфликта. Однако, обозначение видов деятельности, людей и групп как «экстремистских», а так же определение того, что следует считать «обычным» или «общепринятым» — это всегда субъективный и политический вопрос. Таким образом, мы предполагаем, что в любой дискуссии на тему экстремизма затрагивается следующее:</w:t>
      </w:r>
    </w:p>
    <w:p w:rsidR="00103CF2" w:rsidRDefault="00444C6B">
      <w:pPr>
        <w:pStyle w:val="1"/>
        <w:numPr>
          <w:ilvl w:val="0"/>
          <w:numId w:val="2"/>
        </w:numPr>
        <w:shd w:val="clear" w:color="auto" w:fill="auto"/>
        <w:tabs>
          <w:tab w:val="left" w:pos="746"/>
        </w:tabs>
        <w:spacing w:before="0"/>
        <w:ind w:left="740" w:right="300"/>
      </w:pPr>
      <w:r>
        <w:t xml:space="preserve">Обычно, одни экстремистские действия некоторыми людьми рассматриваются как справедливые и добродетельные (например, </w:t>
      </w:r>
      <w:proofErr w:type="spellStart"/>
      <w:r>
        <w:t>просоциальная</w:t>
      </w:r>
      <w:proofErr w:type="spellEnd"/>
      <w:r>
        <w:t xml:space="preserve"> «борьба за свободу»), а другие экстремистские действия — как несправедливые и аморальные (антисоциальный «терроризм»). Это зависит от ценностей, политических убеждений, нравственных ограничений </w:t>
      </w:r>
      <w:proofErr w:type="gramStart"/>
      <w:r>
        <w:t>оценивающего</w:t>
      </w:r>
      <w:proofErr w:type="gramEnd"/>
      <w:r>
        <w:t>, а так же от его отношений с деятелем.</w:t>
      </w:r>
    </w:p>
    <w:p w:rsidR="00103CF2" w:rsidRDefault="00444C6B">
      <w:pPr>
        <w:pStyle w:val="1"/>
        <w:numPr>
          <w:ilvl w:val="0"/>
          <w:numId w:val="2"/>
        </w:numPr>
        <w:shd w:val="clear" w:color="auto" w:fill="auto"/>
        <w:tabs>
          <w:tab w:val="left" w:pos="746"/>
        </w:tabs>
        <w:spacing w:before="0"/>
        <w:ind w:left="740" w:right="300"/>
      </w:pPr>
      <w:r>
        <w:t xml:space="preserve">Кроме того, у одного и того же человека моральная оценка одного и того же экстремистского действия (например, использования тактики партизанской войны Нельсоном </w:t>
      </w:r>
      <w:proofErr w:type="spellStart"/>
      <w:r>
        <w:t>Манделой</w:t>
      </w:r>
      <w:proofErr w:type="spellEnd"/>
      <w:r>
        <w:t xml:space="preserve"> против правительства ЮАР) может меняться в зависимости от условий — руководства, мнения мирового сообщества, кризисов, «сведения исторических счётов» и так далее. Таким образом, современный и исторический контекст, в котором совершается экстремистское действие, формирует наши взгляды на него</w:t>
      </w:r>
    </w:p>
    <w:p w:rsidR="00103CF2" w:rsidRDefault="00444C6B">
      <w:pPr>
        <w:pStyle w:val="1"/>
        <w:numPr>
          <w:ilvl w:val="0"/>
          <w:numId w:val="2"/>
        </w:numPr>
        <w:shd w:val="clear" w:color="auto" w:fill="auto"/>
        <w:tabs>
          <w:tab w:val="left" w:pos="746"/>
        </w:tabs>
        <w:spacing w:before="0" w:after="0"/>
        <w:ind w:left="740" w:right="300"/>
      </w:pPr>
      <w:r>
        <w:t xml:space="preserve">Различие сил также имеет значение при определении экстремизма. Во время конфликта, действия членов более слабой группы часто выглядят более экстремальными, чем такие же действия членов более сильной группы, защищающей свой статус-кво. В дополнение, на крайние меры скорее пойдут маргинальные люди и группы, которые рассматривают </w:t>
      </w:r>
      <w:proofErr w:type="gramStart"/>
      <w:r>
        <w:t>более нормативные</w:t>
      </w:r>
      <w:proofErr w:type="gramEnd"/>
      <w:r>
        <w:t xml:space="preserve"> формы разрешения конфликта как недоступные для них, или</w:t>
      </w:r>
    </w:p>
    <w:p w:rsidR="00103CF2" w:rsidRDefault="00444C6B">
      <w:pPr>
        <w:pStyle w:val="1"/>
        <w:shd w:val="clear" w:color="auto" w:fill="auto"/>
        <w:spacing w:before="0"/>
        <w:ind w:left="740" w:right="520" w:firstLine="0"/>
      </w:pPr>
      <w:r>
        <w:t>относятся к ним с предубеждением. Однако</w:t>
      </w:r>
      <w:proofErr w:type="gramStart"/>
      <w:r>
        <w:t>,</w:t>
      </w:r>
      <w:proofErr w:type="gramEnd"/>
      <w:r>
        <w:t xml:space="preserve"> доминирующие группы тоже зачастую прибегают к экстремальным действиям (например, санкционирование правительством насильственных действий военизированных формирований или нападение в </w:t>
      </w:r>
      <w:proofErr w:type="spellStart"/>
      <w:r>
        <w:t>Вако</w:t>
      </w:r>
      <w:proofErr w:type="spellEnd"/>
      <w:r>
        <w:t xml:space="preserve">, </w:t>
      </w:r>
      <w:r>
        <w:lastRenderedPageBreak/>
        <w:t>осуществлённое ФБР в США).</w:t>
      </w:r>
    </w:p>
    <w:p w:rsidR="00103CF2" w:rsidRDefault="00444C6B" w:rsidP="0069680C">
      <w:pPr>
        <w:pStyle w:val="1"/>
        <w:numPr>
          <w:ilvl w:val="0"/>
          <w:numId w:val="2"/>
        </w:numPr>
        <w:shd w:val="clear" w:color="auto" w:fill="auto"/>
        <w:tabs>
          <w:tab w:val="left" w:pos="746"/>
        </w:tabs>
        <w:spacing w:before="0" w:after="0"/>
        <w:ind w:left="740" w:right="220"/>
      </w:pPr>
      <w:r>
        <w:t>Экстремистские действия часто связаны с насилием, хотя группы экстремистов могу различаться по предпочтению насильственной или ненасильственной тактики, допускаемому уровню насилия, предпочитаемым мишеням для своих насильственных действий (от инфраструктуры и военного персонала до мирных граждан и даже детей). Опять же, более слабые группы скорее будут использовать и предпримут прямые и эпизодические формы насилия (например, подрывы террористов-смертников), тогда как доминантные группы склонны к более структурированным или</w:t>
      </w:r>
      <w:r w:rsidR="0069680C">
        <w:t xml:space="preserve"> </w:t>
      </w:r>
      <w:bookmarkStart w:id="0" w:name="_GoBack"/>
      <w:bookmarkEnd w:id="0"/>
      <w:proofErr w:type="spellStart"/>
      <w:r>
        <w:t>институционализированным</w:t>
      </w:r>
      <w:proofErr w:type="spellEnd"/>
      <w:r>
        <w:t xml:space="preserve"> формам насилия (вроде тайного использования пыток или неформального разрешения зверств полиции).</w:t>
      </w:r>
    </w:p>
    <w:p w:rsidR="00103CF2" w:rsidRDefault="00444C6B">
      <w:pPr>
        <w:pStyle w:val="1"/>
        <w:numPr>
          <w:ilvl w:val="0"/>
          <w:numId w:val="2"/>
        </w:numPr>
        <w:shd w:val="clear" w:color="auto" w:fill="auto"/>
        <w:tabs>
          <w:tab w:val="left" w:pos="746"/>
        </w:tabs>
        <w:spacing w:before="0"/>
        <w:ind w:left="740" w:right="220"/>
      </w:pPr>
      <w:r>
        <w:t xml:space="preserve">Несмотря на то, что экстремисты и их группы (такие, как </w:t>
      </w:r>
      <w:proofErr w:type="spellStart"/>
      <w:r>
        <w:t>Хамаз</w:t>
      </w:r>
      <w:proofErr w:type="spellEnd"/>
      <w:r>
        <w:t xml:space="preserve"> или Исламский Джихад) часто рассматриваются как связанное воедино и согласованное зло, важно понимать, что и внутри них могут быть конфликты и амбивалентное поведение членов групп. Так, например, отдельные члены </w:t>
      </w:r>
      <w:proofErr w:type="spellStart"/>
      <w:r>
        <w:t>Хамаза</w:t>
      </w:r>
      <w:proofErr w:type="spellEnd"/>
      <w:r>
        <w:t xml:space="preserve"> могут сильно отличаться по своей готовности вступить в переговоры с властями Палестины и, в конечном счёте, с определёнными фракциями в Израиле.</w:t>
      </w:r>
    </w:p>
    <w:p w:rsidR="00103CF2" w:rsidRDefault="00444C6B">
      <w:pPr>
        <w:pStyle w:val="1"/>
        <w:numPr>
          <w:ilvl w:val="0"/>
          <w:numId w:val="2"/>
        </w:numPr>
        <w:shd w:val="clear" w:color="auto" w:fill="auto"/>
        <w:tabs>
          <w:tab w:val="left" w:pos="746"/>
        </w:tabs>
        <w:spacing w:before="0"/>
        <w:ind w:left="740" w:right="720"/>
      </w:pPr>
      <w:r>
        <w:t>Наконец, основная проблема в том, что экстремизм, присутствующий в ситуациях затяжного конфликта — не самое жестокое, но самое заметное из действий сторон. Жёсткая и нетерпимая позиция экстремистов крайне сложно поддаётся изменениям.</w:t>
      </w:r>
    </w:p>
    <w:p w:rsidR="00103CF2" w:rsidRDefault="00444C6B">
      <w:pPr>
        <w:pStyle w:val="1"/>
        <w:shd w:val="clear" w:color="auto" w:fill="auto"/>
        <w:spacing w:before="0" w:after="116"/>
        <w:ind w:left="20" w:right="220" w:firstLine="0"/>
      </w:pPr>
      <w:r>
        <w:t>Другой подход демонстрирует со-координатор Международного Движения по защите прав народов В. Д. Трофимов-Трофимов. Согласно его определению, экстремизм не связан только с политикой и распространяется на все виды человеческой деятельности:</w:t>
      </w:r>
    </w:p>
    <w:p w:rsidR="00103CF2" w:rsidRDefault="00444C6B">
      <w:pPr>
        <w:pStyle w:val="1"/>
        <w:shd w:val="clear" w:color="auto" w:fill="auto"/>
        <w:spacing w:before="0" w:after="562" w:line="312" w:lineRule="exact"/>
        <w:ind w:left="20" w:right="1300" w:firstLine="0"/>
      </w:pPr>
      <w:r>
        <w:t>Экстремизм — это идеология допустимости использования крайних мер, экстремумов социального поведения, для получения желаемого эффекта.</w:t>
      </w:r>
    </w:p>
    <w:p w:rsidR="00103CF2" w:rsidRDefault="00444C6B">
      <w:pPr>
        <w:pStyle w:val="11"/>
        <w:keepNext/>
        <w:keepLines/>
        <w:numPr>
          <w:ilvl w:val="0"/>
          <w:numId w:val="1"/>
        </w:numPr>
        <w:shd w:val="clear" w:color="auto" w:fill="auto"/>
        <w:tabs>
          <w:tab w:val="left" w:pos="246"/>
        </w:tabs>
        <w:spacing w:before="0" w:after="157" w:line="210" w:lineRule="exact"/>
        <w:ind w:left="20"/>
      </w:pPr>
      <w:bookmarkStart w:id="1" w:name="bookmark0"/>
      <w:r>
        <w:t>Международно-правовое определение</w:t>
      </w:r>
      <w:bookmarkEnd w:id="1"/>
    </w:p>
    <w:p w:rsidR="00103CF2" w:rsidRDefault="00444C6B">
      <w:pPr>
        <w:pStyle w:val="1"/>
        <w:shd w:val="clear" w:color="auto" w:fill="auto"/>
        <w:spacing w:before="0" w:after="124" w:line="312" w:lineRule="exact"/>
        <w:ind w:left="20" w:right="220" w:firstLine="0"/>
      </w:pPr>
      <w:r>
        <w:t>«Шанхайская конвенция о борьбе с терроризмом, сепаратизмом и экстремизмом» от 15 июня 2001 г. даёт следующее определение понятия экстремизма (п. 3 ч. 1 ст. 1[4]):</w:t>
      </w:r>
    </w:p>
    <w:p w:rsidR="00103CF2" w:rsidRDefault="00444C6B">
      <w:pPr>
        <w:pStyle w:val="30"/>
        <w:shd w:val="clear" w:color="auto" w:fill="auto"/>
        <w:spacing w:before="0"/>
        <w:ind w:left="20" w:right="220"/>
      </w:pPr>
      <w:proofErr w:type="gramStart"/>
      <w:r>
        <w:rPr>
          <w:rStyle w:val="3105pt"/>
          <w:i/>
          <w:iCs/>
        </w:rPr>
        <w:t xml:space="preserve">Экстремизм </w:t>
      </w:r>
      <w:r>
        <w:t>— какое-либо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 и преследуемые в уголовном порядке в соответствии с национальным законодательством Сторон.</w:t>
      </w:r>
      <w:proofErr w:type="gramEnd"/>
    </w:p>
    <w:p w:rsidR="00103CF2" w:rsidRDefault="00444C6B">
      <w:pPr>
        <w:pStyle w:val="1"/>
        <w:shd w:val="clear" w:color="auto" w:fill="auto"/>
        <w:spacing w:before="0" w:after="0"/>
        <w:ind w:left="20" w:right="220" w:firstLine="0"/>
      </w:pPr>
      <w:r>
        <w:t>Данную Шанхайскую конвенцию подписали: Республика Казахстан, Китайская Народная Республика, Кыргызская Республика, Российская Федерация, Республика Таджикистан и Республика Узбекистан. В январе 2003 года она была ратифицирована и с 29 марта того же года вступила в силу в России.</w:t>
      </w:r>
    </w:p>
    <w:p w:rsidR="00103CF2" w:rsidRDefault="00444C6B">
      <w:pPr>
        <w:pStyle w:val="11"/>
        <w:keepNext/>
        <w:keepLines/>
        <w:numPr>
          <w:ilvl w:val="0"/>
          <w:numId w:val="1"/>
        </w:numPr>
        <w:shd w:val="clear" w:color="auto" w:fill="auto"/>
        <w:tabs>
          <w:tab w:val="left" w:pos="226"/>
        </w:tabs>
        <w:spacing w:before="0" w:after="0" w:line="210" w:lineRule="exact"/>
      </w:pPr>
      <w:bookmarkStart w:id="2" w:name="bookmark1"/>
      <w:r>
        <w:t>Юридическое определение в России</w:t>
      </w:r>
      <w:bookmarkEnd w:id="2"/>
    </w:p>
    <w:p w:rsidR="00103CF2" w:rsidRDefault="00444C6B">
      <w:pPr>
        <w:pStyle w:val="1"/>
        <w:shd w:val="clear" w:color="auto" w:fill="auto"/>
        <w:spacing w:before="0" w:after="124" w:line="312" w:lineRule="exact"/>
        <w:ind w:right="200" w:firstLine="0"/>
        <w:jc w:val="both"/>
      </w:pPr>
      <w:r>
        <w:t>В России юридическое определение того, какие действия считаются экстремистскими, содержится в статье 1 Федерального Закона № 114-ФЗ «О противодействии экстремистской деятельности».</w:t>
      </w:r>
    </w:p>
    <w:p w:rsidR="00103CF2" w:rsidRDefault="00444C6B">
      <w:pPr>
        <w:pStyle w:val="1"/>
        <w:shd w:val="clear" w:color="auto" w:fill="auto"/>
        <w:spacing w:before="0" w:after="116"/>
        <w:ind w:right="380" w:firstLine="0"/>
      </w:pPr>
      <w:r>
        <w:t>В соответствии с поправками от 29 апреля 2008 г. к экстремистской деятельности (экстремизму) относятся:</w:t>
      </w:r>
    </w:p>
    <w:p w:rsidR="00103CF2" w:rsidRDefault="00444C6B">
      <w:pPr>
        <w:pStyle w:val="1"/>
        <w:numPr>
          <w:ilvl w:val="0"/>
          <w:numId w:val="2"/>
        </w:numPr>
        <w:shd w:val="clear" w:color="auto" w:fill="auto"/>
        <w:tabs>
          <w:tab w:val="left" w:pos="697"/>
        </w:tabs>
        <w:spacing w:before="0" w:after="202" w:line="312" w:lineRule="exact"/>
        <w:ind w:left="720" w:right="840"/>
      </w:pPr>
      <w:r>
        <w:t>насильственное изменение основ конституционного строя и нарушение целостности Российской Федерации;</w:t>
      </w:r>
    </w:p>
    <w:p w:rsidR="00103CF2" w:rsidRDefault="00444C6B">
      <w:pPr>
        <w:pStyle w:val="1"/>
        <w:numPr>
          <w:ilvl w:val="0"/>
          <w:numId w:val="2"/>
        </w:numPr>
        <w:shd w:val="clear" w:color="auto" w:fill="auto"/>
        <w:tabs>
          <w:tab w:val="left" w:pos="697"/>
        </w:tabs>
        <w:spacing w:before="0" w:after="239" w:line="210" w:lineRule="exact"/>
        <w:ind w:left="720"/>
        <w:jc w:val="both"/>
      </w:pPr>
      <w:r>
        <w:t>публичное оправдание терроризма и иная террористическая деятельность;</w:t>
      </w:r>
    </w:p>
    <w:p w:rsidR="00103CF2" w:rsidRDefault="00444C6B">
      <w:pPr>
        <w:pStyle w:val="1"/>
        <w:numPr>
          <w:ilvl w:val="0"/>
          <w:numId w:val="2"/>
        </w:numPr>
        <w:shd w:val="clear" w:color="auto" w:fill="auto"/>
        <w:tabs>
          <w:tab w:val="left" w:pos="697"/>
        </w:tabs>
        <w:spacing w:before="0" w:after="161" w:line="210" w:lineRule="exact"/>
        <w:ind w:left="720"/>
        <w:jc w:val="both"/>
      </w:pPr>
      <w:r>
        <w:lastRenderedPageBreak/>
        <w:t>возбуждение социальной, расовой, национальной или религиозной розни;</w:t>
      </w:r>
    </w:p>
    <w:p w:rsidR="00103CF2" w:rsidRDefault="00444C6B">
      <w:pPr>
        <w:pStyle w:val="1"/>
        <w:numPr>
          <w:ilvl w:val="0"/>
          <w:numId w:val="2"/>
        </w:numPr>
        <w:shd w:val="clear" w:color="auto" w:fill="auto"/>
        <w:tabs>
          <w:tab w:val="left" w:pos="697"/>
        </w:tabs>
        <w:spacing w:before="0"/>
        <w:ind w:left="720" w:right="200"/>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103CF2" w:rsidRDefault="00444C6B">
      <w:pPr>
        <w:pStyle w:val="1"/>
        <w:numPr>
          <w:ilvl w:val="0"/>
          <w:numId w:val="2"/>
        </w:numPr>
        <w:shd w:val="clear" w:color="auto" w:fill="auto"/>
        <w:tabs>
          <w:tab w:val="left" w:pos="697"/>
        </w:tabs>
        <w:spacing w:before="0"/>
        <w:ind w:left="720" w:right="200"/>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103CF2" w:rsidRDefault="00444C6B">
      <w:pPr>
        <w:pStyle w:val="1"/>
        <w:numPr>
          <w:ilvl w:val="0"/>
          <w:numId w:val="2"/>
        </w:numPr>
        <w:shd w:val="clear" w:color="auto" w:fill="auto"/>
        <w:tabs>
          <w:tab w:val="left" w:pos="697"/>
        </w:tabs>
        <w:spacing w:before="0"/>
        <w:ind w:left="720" w:right="200"/>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103CF2" w:rsidRDefault="00444C6B">
      <w:pPr>
        <w:pStyle w:val="1"/>
        <w:numPr>
          <w:ilvl w:val="0"/>
          <w:numId w:val="2"/>
        </w:numPr>
        <w:shd w:val="clear" w:color="auto" w:fill="auto"/>
        <w:tabs>
          <w:tab w:val="left" w:pos="697"/>
        </w:tabs>
        <w:spacing w:before="0" w:after="116"/>
        <w:ind w:left="720" w:right="38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103CF2" w:rsidRDefault="00444C6B">
      <w:pPr>
        <w:pStyle w:val="1"/>
        <w:numPr>
          <w:ilvl w:val="0"/>
          <w:numId w:val="2"/>
        </w:numPr>
        <w:shd w:val="clear" w:color="auto" w:fill="auto"/>
        <w:tabs>
          <w:tab w:val="left" w:pos="697"/>
        </w:tabs>
        <w:spacing w:before="0" w:line="312" w:lineRule="exact"/>
        <w:ind w:left="720" w:right="200"/>
      </w:pPr>
      <w:r>
        <w:t>совершение преступлений по мотивам, указанным в пункте «е» части первой статьи 63 Уголовного кодекса Российской Федерации;</w:t>
      </w:r>
    </w:p>
    <w:p w:rsidR="00103CF2" w:rsidRDefault="00444C6B">
      <w:pPr>
        <w:pStyle w:val="1"/>
        <w:numPr>
          <w:ilvl w:val="0"/>
          <w:numId w:val="2"/>
        </w:numPr>
        <w:shd w:val="clear" w:color="auto" w:fill="auto"/>
        <w:tabs>
          <w:tab w:val="left" w:pos="697"/>
        </w:tabs>
        <w:spacing w:before="0" w:after="124" w:line="312" w:lineRule="exact"/>
        <w:ind w:left="720" w:right="200"/>
      </w:pPr>
      <w:r>
        <w:t xml:space="preserve">пропаганда и публичное демонстрирование нацистской атрибутики или символики, либо атрибутики или символики, </w:t>
      </w:r>
      <w:proofErr w:type="gramStart"/>
      <w:r>
        <w:t>сходных</w:t>
      </w:r>
      <w:proofErr w:type="gramEnd"/>
      <w:r>
        <w:t xml:space="preserve"> с нацистской атрибутикой или символикой до степени смешения;</w:t>
      </w:r>
    </w:p>
    <w:p w:rsidR="00103CF2" w:rsidRDefault="00444C6B">
      <w:pPr>
        <w:pStyle w:val="1"/>
        <w:numPr>
          <w:ilvl w:val="0"/>
          <w:numId w:val="2"/>
        </w:numPr>
        <w:shd w:val="clear" w:color="auto" w:fill="auto"/>
        <w:tabs>
          <w:tab w:val="left" w:pos="697"/>
        </w:tabs>
        <w:spacing w:before="0"/>
        <w:ind w:left="720" w:right="200"/>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103CF2" w:rsidRDefault="00444C6B">
      <w:pPr>
        <w:pStyle w:val="1"/>
        <w:numPr>
          <w:ilvl w:val="0"/>
          <w:numId w:val="2"/>
        </w:numPr>
        <w:shd w:val="clear" w:color="auto" w:fill="auto"/>
        <w:tabs>
          <w:tab w:val="left" w:pos="697"/>
        </w:tabs>
        <w:spacing w:before="0" w:after="116"/>
        <w:ind w:left="720" w:right="200"/>
      </w:pPr>
      <w:r>
        <w:t>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103CF2" w:rsidRDefault="00444C6B">
      <w:pPr>
        <w:pStyle w:val="1"/>
        <w:numPr>
          <w:ilvl w:val="0"/>
          <w:numId w:val="2"/>
        </w:numPr>
        <w:shd w:val="clear" w:color="auto" w:fill="auto"/>
        <w:tabs>
          <w:tab w:val="left" w:pos="697"/>
        </w:tabs>
        <w:spacing w:before="0" w:after="124" w:line="312" w:lineRule="exact"/>
        <w:ind w:left="720" w:right="1620"/>
      </w:pPr>
      <w:r>
        <w:t>организация и подготовка указанных деяний, а также подстрекательство к их осуществлению;</w:t>
      </w:r>
    </w:p>
    <w:p w:rsidR="00103CF2" w:rsidRDefault="00444C6B">
      <w:pPr>
        <w:pStyle w:val="1"/>
        <w:numPr>
          <w:ilvl w:val="0"/>
          <w:numId w:val="2"/>
        </w:numPr>
        <w:shd w:val="clear" w:color="auto" w:fill="auto"/>
        <w:tabs>
          <w:tab w:val="left" w:pos="697"/>
        </w:tabs>
        <w:spacing w:before="0" w:after="0"/>
        <w:ind w:left="720" w:right="200"/>
      </w:pPr>
      <w:r>
        <w:t>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w:t>
      </w:r>
    </w:p>
    <w:p w:rsidR="00103CF2" w:rsidRDefault="00444C6B">
      <w:pPr>
        <w:pStyle w:val="1"/>
        <w:shd w:val="clear" w:color="auto" w:fill="auto"/>
        <w:spacing w:before="0" w:after="484" w:line="312" w:lineRule="exact"/>
        <w:ind w:left="740" w:right="1160" w:firstLine="0"/>
      </w:pPr>
      <w:r>
        <w:t>материально-технической базы, телефонной и иных видов связи или оказания информационных услуг.</w:t>
      </w:r>
    </w:p>
    <w:p w:rsidR="00103CF2" w:rsidRDefault="00444C6B">
      <w:pPr>
        <w:pStyle w:val="11"/>
        <w:keepNext/>
        <w:keepLines/>
        <w:numPr>
          <w:ilvl w:val="0"/>
          <w:numId w:val="1"/>
        </w:numPr>
        <w:shd w:val="clear" w:color="auto" w:fill="auto"/>
        <w:tabs>
          <w:tab w:val="left" w:pos="243"/>
        </w:tabs>
        <w:spacing w:before="0" w:after="0" w:line="307" w:lineRule="exact"/>
        <w:ind w:left="20"/>
      </w:pPr>
      <w:bookmarkStart w:id="3" w:name="bookmark2"/>
      <w:r>
        <w:t>Юридические определения в США</w:t>
      </w:r>
      <w:bookmarkEnd w:id="3"/>
    </w:p>
    <w:p w:rsidR="00103CF2" w:rsidRDefault="00444C6B">
      <w:pPr>
        <w:pStyle w:val="1"/>
        <w:shd w:val="clear" w:color="auto" w:fill="auto"/>
        <w:spacing w:before="0" w:after="558"/>
        <w:ind w:left="20" w:right="300" w:firstLine="0"/>
      </w:pPr>
      <w:r>
        <w:t>Подобные преступления в некоторых штатах США квалифицируются как «преступления на почве ненависти». Это специальная юридическая квалификация особого рода преступлений против личности, совершаемых под влиянием ненависти к лицам иной расы или национальности, вероисповедания, этнического происхождения, политических убеждений, пола и сексуальной ориентации, инвалидам. Такая дополнительная квалификация, отягчающая вину и ужесточающая наказание, существует в некоторых штатах США, в ряде стран Западной и Центральной Европы, но отсутствует в других штатах и государствах.</w:t>
      </w:r>
    </w:p>
    <w:p w:rsidR="00103CF2" w:rsidRDefault="00444C6B">
      <w:pPr>
        <w:pStyle w:val="11"/>
        <w:keepNext/>
        <w:keepLines/>
        <w:numPr>
          <w:ilvl w:val="0"/>
          <w:numId w:val="1"/>
        </w:numPr>
        <w:shd w:val="clear" w:color="auto" w:fill="auto"/>
        <w:tabs>
          <w:tab w:val="left" w:pos="243"/>
        </w:tabs>
        <w:spacing w:before="0" w:after="59" w:line="210" w:lineRule="exact"/>
        <w:ind w:left="20"/>
      </w:pPr>
      <w:bookmarkStart w:id="4" w:name="bookmark3"/>
      <w:r>
        <w:lastRenderedPageBreak/>
        <w:t>Основные принципы противодействия экстремистской деятельности</w:t>
      </w:r>
      <w:bookmarkEnd w:id="4"/>
    </w:p>
    <w:p w:rsidR="00103CF2" w:rsidRDefault="00444C6B">
      <w:pPr>
        <w:pStyle w:val="1"/>
        <w:shd w:val="clear" w:color="auto" w:fill="auto"/>
        <w:spacing w:before="0" w:after="157" w:line="210" w:lineRule="exact"/>
        <w:ind w:left="20" w:firstLine="0"/>
        <w:jc w:val="both"/>
      </w:pPr>
      <w:r>
        <w:t>Противодействие экстремистской деятельности основывается на следующих принципах:</w:t>
      </w:r>
    </w:p>
    <w:p w:rsidR="00103CF2" w:rsidRDefault="00444C6B">
      <w:pPr>
        <w:pStyle w:val="1"/>
        <w:numPr>
          <w:ilvl w:val="0"/>
          <w:numId w:val="2"/>
        </w:numPr>
        <w:shd w:val="clear" w:color="auto" w:fill="auto"/>
        <w:tabs>
          <w:tab w:val="left" w:pos="744"/>
        </w:tabs>
        <w:spacing w:before="0" w:after="0" w:line="312" w:lineRule="exact"/>
        <w:ind w:left="740" w:right="300"/>
      </w:pPr>
      <w:r>
        <w:t>признание, соблюдение и защита прав и свобод человека и гражданина, а равно законных интересов организаций;</w:t>
      </w:r>
    </w:p>
    <w:p w:rsidR="00103CF2" w:rsidRDefault="00444C6B">
      <w:pPr>
        <w:pStyle w:val="1"/>
        <w:numPr>
          <w:ilvl w:val="0"/>
          <w:numId w:val="2"/>
        </w:numPr>
        <w:shd w:val="clear" w:color="auto" w:fill="auto"/>
        <w:tabs>
          <w:tab w:val="left" w:pos="744"/>
        </w:tabs>
        <w:spacing w:before="0" w:after="0" w:line="509" w:lineRule="exact"/>
        <w:ind w:left="740"/>
        <w:jc w:val="both"/>
      </w:pPr>
      <w:r>
        <w:t>законность;</w:t>
      </w:r>
    </w:p>
    <w:p w:rsidR="00103CF2" w:rsidRDefault="00444C6B">
      <w:pPr>
        <w:pStyle w:val="1"/>
        <w:numPr>
          <w:ilvl w:val="0"/>
          <w:numId w:val="2"/>
        </w:numPr>
        <w:shd w:val="clear" w:color="auto" w:fill="auto"/>
        <w:tabs>
          <w:tab w:val="left" w:pos="744"/>
        </w:tabs>
        <w:spacing w:before="0" w:after="0" w:line="509" w:lineRule="exact"/>
        <w:ind w:left="740"/>
        <w:jc w:val="both"/>
      </w:pPr>
      <w:r>
        <w:t>гласность;</w:t>
      </w:r>
    </w:p>
    <w:p w:rsidR="00103CF2" w:rsidRDefault="00444C6B">
      <w:pPr>
        <w:pStyle w:val="1"/>
        <w:numPr>
          <w:ilvl w:val="0"/>
          <w:numId w:val="2"/>
        </w:numPr>
        <w:shd w:val="clear" w:color="auto" w:fill="auto"/>
        <w:tabs>
          <w:tab w:val="left" w:pos="744"/>
        </w:tabs>
        <w:spacing w:before="0" w:after="0" w:line="509" w:lineRule="exact"/>
        <w:ind w:left="740"/>
        <w:jc w:val="both"/>
      </w:pPr>
      <w:r>
        <w:t>приоритет обеспечения безопасности Российской Федерации;</w:t>
      </w:r>
    </w:p>
    <w:p w:rsidR="00103CF2" w:rsidRDefault="00444C6B">
      <w:pPr>
        <w:pStyle w:val="1"/>
        <w:numPr>
          <w:ilvl w:val="0"/>
          <w:numId w:val="2"/>
        </w:numPr>
        <w:shd w:val="clear" w:color="auto" w:fill="auto"/>
        <w:tabs>
          <w:tab w:val="left" w:pos="744"/>
        </w:tabs>
        <w:spacing w:before="0" w:after="0" w:line="509" w:lineRule="exact"/>
        <w:ind w:left="740"/>
        <w:jc w:val="both"/>
      </w:pPr>
      <w:r>
        <w:t>приоритет мер, направленных на предупреждение экстремистской деятельности;</w:t>
      </w:r>
    </w:p>
    <w:p w:rsidR="00103CF2" w:rsidRDefault="00444C6B">
      <w:pPr>
        <w:pStyle w:val="1"/>
        <w:numPr>
          <w:ilvl w:val="0"/>
          <w:numId w:val="2"/>
        </w:numPr>
        <w:shd w:val="clear" w:color="auto" w:fill="auto"/>
        <w:tabs>
          <w:tab w:val="left" w:pos="744"/>
        </w:tabs>
        <w:spacing w:before="0" w:after="198"/>
        <w:ind w:left="740" w:right="300"/>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103CF2" w:rsidRDefault="00444C6B">
      <w:pPr>
        <w:pStyle w:val="1"/>
        <w:numPr>
          <w:ilvl w:val="0"/>
          <w:numId w:val="2"/>
        </w:numPr>
        <w:shd w:val="clear" w:color="auto" w:fill="auto"/>
        <w:tabs>
          <w:tab w:val="left" w:pos="744"/>
        </w:tabs>
        <w:spacing w:before="0" w:after="544" w:line="210" w:lineRule="exact"/>
        <w:ind w:left="740"/>
        <w:jc w:val="both"/>
      </w:pPr>
      <w:r>
        <w:t>неотвратимость наказания за осуществление экстремистской деятельности.</w:t>
      </w:r>
    </w:p>
    <w:p w:rsidR="00103CF2" w:rsidRDefault="00444C6B">
      <w:pPr>
        <w:pStyle w:val="11"/>
        <w:keepNext/>
        <w:keepLines/>
        <w:numPr>
          <w:ilvl w:val="0"/>
          <w:numId w:val="1"/>
        </w:numPr>
        <w:shd w:val="clear" w:color="auto" w:fill="auto"/>
        <w:tabs>
          <w:tab w:val="left" w:pos="243"/>
        </w:tabs>
        <w:spacing w:before="0" w:after="0" w:line="210" w:lineRule="exact"/>
        <w:ind w:left="20"/>
      </w:pPr>
      <w:bookmarkStart w:id="5" w:name="bookmark4"/>
      <w:r>
        <w:t>Основные направления противодействия экстремистской деятельности</w:t>
      </w:r>
      <w:bookmarkEnd w:id="5"/>
    </w:p>
    <w:p w:rsidR="00103CF2" w:rsidRDefault="00444C6B">
      <w:pPr>
        <w:pStyle w:val="1"/>
        <w:shd w:val="clear" w:color="auto" w:fill="auto"/>
        <w:spacing w:before="0" w:after="124" w:line="312" w:lineRule="exact"/>
        <w:ind w:left="20" w:right="300" w:firstLine="0"/>
      </w:pPr>
      <w:r>
        <w:t>Противодействие экстремистской деятельности осуществляется по следующим основным направлениям:</w:t>
      </w:r>
    </w:p>
    <w:p w:rsidR="00103CF2" w:rsidRDefault="00444C6B">
      <w:pPr>
        <w:pStyle w:val="1"/>
        <w:numPr>
          <w:ilvl w:val="0"/>
          <w:numId w:val="2"/>
        </w:numPr>
        <w:shd w:val="clear" w:color="auto" w:fill="auto"/>
        <w:tabs>
          <w:tab w:val="left" w:pos="744"/>
        </w:tabs>
        <w:spacing w:before="0" w:after="116"/>
        <w:ind w:left="740" w:right="6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103CF2" w:rsidRDefault="00444C6B">
      <w:pPr>
        <w:pStyle w:val="1"/>
        <w:numPr>
          <w:ilvl w:val="0"/>
          <w:numId w:val="2"/>
        </w:numPr>
        <w:shd w:val="clear" w:color="auto" w:fill="auto"/>
        <w:tabs>
          <w:tab w:val="left" w:pos="744"/>
        </w:tabs>
        <w:spacing w:before="0" w:after="484" w:line="312" w:lineRule="exact"/>
        <w:ind w:left="740" w:right="300"/>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103CF2" w:rsidRDefault="00444C6B">
      <w:pPr>
        <w:pStyle w:val="11"/>
        <w:keepNext/>
        <w:keepLines/>
        <w:numPr>
          <w:ilvl w:val="0"/>
          <w:numId w:val="1"/>
        </w:numPr>
        <w:shd w:val="clear" w:color="auto" w:fill="auto"/>
        <w:tabs>
          <w:tab w:val="left" w:pos="243"/>
        </w:tabs>
        <w:spacing w:before="0" w:after="0" w:line="307" w:lineRule="exact"/>
        <w:ind w:left="20"/>
      </w:pPr>
      <w:bookmarkStart w:id="6" w:name="bookmark5"/>
      <w:r>
        <w:t>Субъекты противодействия экстремистской деятельности</w:t>
      </w:r>
      <w:bookmarkEnd w:id="6"/>
    </w:p>
    <w:p w:rsidR="00103CF2" w:rsidRDefault="00444C6B">
      <w:pPr>
        <w:pStyle w:val="1"/>
        <w:shd w:val="clear" w:color="auto" w:fill="auto"/>
        <w:spacing w:before="0" w:after="0"/>
        <w:ind w:left="20" w:right="1160" w:firstLine="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103CF2" w:rsidRDefault="00444C6B">
      <w:pPr>
        <w:pStyle w:val="1"/>
        <w:shd w:val="clear" w:color="auto" w:fill="auto"/>
        <w:spacing w:before="0" w:after="562" w:line="312" w:lineRule="exact"/>
        <w:ind w:left="20" w:right="220" w:firstLine="0"/>
      </w:pPr>
      <w:r>
        <w:t>В Российской Федерации вопросы противодействия экстремистской деятельности относятся к компетенции Департамента по противодействию экстремизму МВД России.</w:t>
      </w:r>
    </w:p>
    <w:p w:rsidR="00103CF2" w:rsidRDefault="00444C6B">
      <w:pPr>
        <w:pStyle w:val="11"/>
        <w:keepNext/>
        <w:keepLines/>
        <w:numPr>
          <w:ilvl w:val="0"/>
          <w:numId w:val="1"/>
        </w:numPr>
        <w:shd w:val="clear" w:color="auto" w:fill="auto"/>
        <w:tabs>
          <w:tab w:val="left" w:pos="296"/>
        </w:tabs>
        <w:spacing w:before="0" w:after="0" w:line="210" w:lineRule="exact"/>
        <w:ind w:left="20"/>
      </w:pPr>
      <w:bookmarkStart w:id="7" w:name="bookmark6"/>
      <w:r>
        <w:t>Профилактика экстремистской деятельности</w:t>
      </w:r>
      <w:bookmarkEnd w:id="7"/>
    </w:p>
    <w:p w:rsidR="00103CF2" w:rsidRDefault="00444C6B">
      <w:pPr>
        <w:pStyle w:val="1"/>
        <w:shd w:val="clear" w:color="auto" w:fill="auto"/>
        <w:spacing w:before="0" w:after="472"/>
        <w:ind w:left="20" w:right="220" w:firstLine="0"/>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103CF2" w:rsidRDefault="00444C6B">
      <w:pPr>
        <w:pStyle w:val="11"/>
        <w:keepNext/>
        <w:keepLines/>
        <w:numPr>
          <w:ilvl w:val="0"/>
          <w:numId w:val="1"/>
        </w:numPr>
        <w:shd w:val="clear" w:color="auto" w:fill="auto"/>
        <w:tabs>
          <w:tab w:val="left" w:pos="296"/>
        </w:tabs>
        <w:spacing w:before="0" w:after="0" w:line="317" w:lineRule="exact"/>
        <w:ind w:left="20" w:right="1100"/>
        <w:jc w:val="left"/>
      </w:pPr>
      <w:bookmarkStart w:id="8" w:name="bookmark7"/>
      <w:r>
        <w:t>Ответственность должностных лиц, государственных и муниципальных служащих за осуществление ими экстремистской деятельности</w:t>
      </w:r>
      <w:bookmarkEnd w:id="8"/>
    </w:p>
    <w:p w:rsidR="00103CF2" w:rsidRDefault="00444C6B">
      <w:pPr>
        <w:pStyle w:val="1"/>
        <w:shd w:val="clear" w:color="auto" w:fill="auto"/>
        <w:spacing w:before="0" w:after="480"/>
        <w:ind w:left="20" w:right="220" w:firstLine="0"/>
      </w:pPr>
      <w:proofErr w:type="gramStart"/>
      <w: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w:t>
      </w:r>
      <w:r>
        <w:lastRenderedPageBreak/>
        <w:t>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влечёт за собой установленную законодательством Российской Федерации ответственность.</w:t>
      </w:r>
      <w:proofErr w:type="gramEnd"/>
      <w:r>
        <w:t xml:space="preserve">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103CF2" w:rsidRDefault="00444C6B">
      <w:pPr>
        <w:pStyle w:val="11"/>
        <w:keepNext/>
        <w:keepLines/>
        <w:numPr>
          <w:ilvl w:val="0"/>
          <w:numId w:val="1"/>
        </w:numPr>
        <w:shd w:val="clear" w:color="auto" w:fill="auto"/>
        <w:tabs>
          <w:tab w:val="left" w:pos="296"/>
        </w:tabs>
        <w:spacing w:before="0" w:after="0" w:line="307" w:lineRule="exact"/>
        <w:ind w:left="20"/>
      </w:pPr>
      <w:bookmarkStart w:id="9" w:name="bookmark8"/>
      <w:r>
        <w:t>Ответственность за осуществление экстремистской деятельности</w:t>
      </w:r>
      <w:bookmarkEnd w:id="9"/>
    </w:p>
    <w:p w:rsidR="00103CF2" w:rsidRDefault="00444C6B">
      <w:pPr>
        <w:pStyle w:val="1"/>
        <w:shd w:val="clear" w:color="auto" w:fill="auto"/>
        <w:spacing w:before="0" w:after="558"/>
        <w:ind w:left="20" w:right="220" w:firstLine="0"/>
      </w:pPr>
      <w:r>
        <w:t xml:space="preserve">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 — правовую ответственность в установленном законодательством Российской Федерации порядке. </w:t>
      </w: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r>
        <w:t xml:space="preserve"> 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своём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103CF2" w:rsidRDefault="00444C6B">
      <w:pPr>
        <w:pStyle w:val="11"/>
        <w:keepNext/>
        <w:keepLines/>
        <w:numPr>
          <w:ilvl w:val="0"/>
          <w:numId w:val="1"/>
        </w:numPr>
        <w:shd w:val="clear" w:color="auto" w:fill="auto"/>
        <w:tabs>
          <w:tab w:val="left" w:pos="296"/>
        </w:tabs>
        <w:spacing w:before="0" w:after="59" w:line="210" w:lineRule="exact"/>
        <w:ind w:left="20"/>
      </w:pPr>
      <w:bookmarkStart w:id="10" w:name="bookmark9"/>
      <w:r>
        <w:t>Международное сотрудничество в области борьбы с экстремизмом</w:t>
      </w:r>
      <w:bookmarkEnd w:id="10"/>
    </w:p>
    <w:p w:rsidR="00103CF2" w:rsidRDefault="00444C6B">
      <w:pPr>
        <w:pStyle w:val="1"/>
        <w:shd w:val="clear" w:color="auto" w:fill="auto"/>
        <w:spacing w:before="0" w:after="0" w:line="210" w:lineRule="exact"/>
        <w:ind w:left="20" w:firstLine="0"/>
        <w:jc w:val="both"/>
      </w:pPr>
      <w:r>
        <w:t xml:space="preserve">На территории Российской Федерации запрещается деятельность </w:t>
      </w:r>
      <w:proofErr w:type="gramStart"/>
      <w:r>
        <w:t>общественных</w:t>
      </w:r>
      <w:proofErr w:type="gramEnd"/>
      <w:r>
        <w:t xml:space="preserve"> и религиозных</w:t>
      </w:r>
    </w:p>
    <w:p w:rsidR="00103CF2" w:rsidRDefault="00444C6B">
      <w:pPr>
        <w:pStyle w:val="1"/>
        <w:shd w:val="clear" w:color="auto" w:fill="auto"/>
        <w:spacing w:before="0"/>
        <w:ind w:left="20" w:right="260" w:firstLine="0"/>
      </w:pPr>
      <w:r>
        <w:t>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 — правовыми актами и федеральным законодательством. Запрет деятельности иностранной некоммерческой неправительственной организации влечет за собой:</w:t>
      </w:r>
    </w:p>
    <w:p w:rsidR="00103CF2" w:rsidRDefault="00444C6B">
      <w:pPr>
        <w:pStyle w:val="1"/>
        <w:shd w:val="clear" w:color="auto" w:fill="auto"/>
        <w:tabs>
          <w:tab w:val="left" w:pos="271"/>
        </w:tabs>
        <w:spacing w:before="0" w:after="116"/>
        <w:ind w:left="20" w:right="260" w:firstLine="0"/>
      </w:pPr>
      <w:r>
        <w:t>а)</w:t>
      </w:r>
      <w:r>
        <w:tab/>
        <w:t>аннулирование государственной аккредитации и регистрации в порядке, установленном законодательством Российской Федерации;</w:t>
      </w:r>
    </w:p>
    <w:p w:rsidR="00103CF2" w:rsidRDefault="00444C6B">
      <w:pPr>
        <w:pStyle w:val="1"/>
        <w:shd w:val="clear" w:color="auto" w:fill="auto"/>
        <w:tabs>
          <w:tab w:val="left" w:pos="271"/>
        </w:tabs>
        <w:spacing w:before="0" w:line="312" w:lineRule="exact"/>
        <w:ind w:left="20" w:right="260" w:firstLine="0"/>
      </w:pPr>
      <w:r>
        <w:t>б)</w:t>
      </w:r>
      <w:r>
        <w:tab/>
        <w:t>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103CF2" w:rsidRDefault="00444C6B">
      <w:pPr>
        <w:pStyle w:val="1"/>
        <w:shd w:val="clear" w:color="auto" w:fill="auto"/>
        <w:tabs>
          <w:tab w:val="left" w:pos="271"/>
        </w:tabs>
        <w:spacing w:before="0" w:after="124" w:line="312" w:lineRule="exact"/>
        <w:ind w:left="20" w:right="260" w:firstLine="0"/>
      </w:pPr>
      <w:r>
        <w:t>в)</w:t>
      </w:r>
      <w:r>
        <w:tab/>
        <w:t>запрет на ведение любой хозяйственной и иной деятельности на территории Российской Федерации;</w:t>
      </w:r>
    </w:p>
    <w:p w:rsidR="00103CF2" w:rsidRDefault="00444C6B">
      <w:pPr>
        <w:pStyle w:val="1"/>
        <w:shd w:val="clear" w:color="auto" w:fill="auto"/>
        <w:tabs>
          <w:tab w:val="left" w:pos="271"/>
        </w:tabs>
        <w:spacing w:before="0"/>
        <w:ind w:left="20" w:right="1440" w:firstLine="0"/>
      </w:pPr>
      <w:r>
        <w:t>г)</w:t>
      </w:r>
      <w:r>
        <w:tab/>
        <w:t>запрет публикации в средствах массовой информации любых материалов от имени запрещенной организации;</w:t>
      </w:r>
    </w:p>
    <w:p w:rsidR="00103CF2" w:rsidRDefault="00444C6B">
      <w:pPr>
        <w:pStyle w:val="1"/>
        <w:shd w:val="clear" w:color="auto" w:fill="auto"/>
        <w:tabs>
          <w:tab w:val="left" w:pos="271"/>
        </w:tabs>
        <w:spacing w:before="0"/>
        <w:ind w:left="20" w:right="260" w:firstLine="0"/>
      </w:pPr>
      <w:r>
        <w:t>д)</w:t>
      </w:r>
      <w:r>
        <w:tab/>
        <w:t>запрет распространения на территории Российской Федерации материалов запрещённой организации, а равно иной информационной продукции, содержащей материалы данной организации;</w:t>
      </w:r>
    </w:p>
    <w:p w:rsidR="00103CF2" w:rsidRDefault="00444C6B">
      <w:pPr>
        <w:pStyle w:val="1"/>
        <w:shd w:val="clear" w:color="auto" w:fill="auto"/>
        <w:tabs>
          <w:tab w:val="left" w:pos="271"/>
        </w:tabs>
        <w:spacing w:before="0"/>
        <w:ind w:left="20" w:right="260" w:firstLine="0"/>
      </w:pPr>
      <w:r>
        <w:lastRenderedPageBreak/>
        <w:t>е)</w:t>
      </w:r>
      <w:r>
        <w:tab/>
        <w:t>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её официальных представителей);</w:t>
      </w:r>
    </w:p>
    <w:p w:rsidR="00103CF2" w:rsidRDefault="00444C6B">
      <w:pPr>
        <w:pStyle w:val="1"/>
        <w:shd w:val="clear" w:color="auto" w:fill="auto"/>
        <w:tabs>
          <w:tab w:val="left" w:pos="271"/>
        </w:tabs>
        <w:spacing w:before="0"/>
        <w:ind w:left="20" w:right="580" w:firstLine="0"/>
        <w:jc w:val="both"/>
      </w:pPr>
      <w:r>
        <w:t>ж)</w:t>
      </w:r>
      <w:r>
        <w:tab/>
        <w:t xml:space="preserve">запрет на создание её организаций — </w:t>
      </w:r>
      <w:proofErr w:type="spellStart"/>
      <w:r>
        <w:t>правопреёмников</w:t>
      </w:r>
      <w:proofErr w:type="spellEnd"/>
      <w:r>
        <w:t xml:space="preserve"> в любой организационно-правовой форме. </w:t>
      </w:r>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103CF2" w:rsidRDefault="00444C6B">
      <w:pPr>
        <w:pStyle w:val="1"/>
        <w:shd w:val="clear" w:color="auto" w:fill="auto"/>
        <w:spacing w:before="0" w:after="480"/>
        <w:ind w:left="20" w:right="260" w:firstLine="0"/>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103CF2" w:rsidRDefault="00444C6B">
      <w:pPr>
        <w:pStyle w:val="11"/>
        <w:keepNext/>
        <w:keepLines/>
        <w:numPr>
          <w:ilvl w:val="0"/>
          <w:numId w:val="1"/>
        </w:numPr>
        <w:shd w:val="clear" w:color="auto" w:fill="auto"/>
        <w:tabs>
          <w:tab w:val="left" w:pos="271"/>
        </w:tabs>
        <w:spacing w:before="0" w:after="0" w:line="307" w:lineRule="exact"/>
        <w:ind w:left="20"/>
      </w:pPr>
      <w:bookmarkStart w:id="11" w:name="bookmark10"/>
      <w:r>
        <w:t>Борьба с детским экстремизмом</w:t>
      </w:r>
      <w:bookmarkEnd w:id="11"/>
    </w:p>
    <w:p w:rsidR="00103CF2" w:rsidRDefault="00444C6B">
      <w:pPr>
        <w:pStyle w:val="1"/>
        <w:shd w:val="clear" w:color="auto" w:fill="auto"/>
        <w:spacing w:before="0" w:after="480"/>
        <w:ind w:left="20" w:right="260" w:firstLine="0"/>
      </w:pPr>
      <w:proofErr w:type="gramStart"/>
      <w:r>
        <w:t>В принятой городским парламентом Калуги в 2006 году целевой программе «Профилактика беспризорности, безнадзорности и правонарушений несовершеннолетних на 2007—2009 годы» в частности содержались меры, призванные развить в подростках неприятие нацистской атрибутики и участия в несанкционированных собраниях.</w:t>
      </w:r>
      <w:proofErr w:type="gramEnd"/>
    </w:p>
    <w:p w:rsidR="00103CF2" w:rsidRDefault="00444C6B">
      <w:pPr>
        <w:pStyle w:val="11"/>
        <w:keepNext/>
        <w:keepLines/>
        <w:numPr>
          <w:ilvl w:val="0"/>
          <w:numId w:val="1"/>
        </w:numPr>
        <w:shd w:val="clear" w:color="auto" w:fill="auto"/>
        <w:tabs>
          <w:tab w:val="left" w:pos="271"/>
        </w:tabs>
        <w:spacing w:before="0" w:after="0" w:line="307" w:lineRule="exact"/>
        <w:ind w:left="20"/>
      </w:pPr>
      <w:bookmarkStart w:id="12" w:name="bookmark11"/>
      <w:r>
        <w:t>Критика государственной политики России в сфере борьбы с экстремизмом</w:t>
      </w:r>
      <w:bookmarkEnd w:id="12"/>
    </w:p>
    <w:p w:rsidR="00103CF2" w:rsidRDefault="00444C6B">
      <w:pPr>
        <w:pStyle w:val="1"/>
        <w:shd w:val="clear" w:color="auto" w:fill="auto"/>
        <w:spacing w:before="0" w:after="0"/>
        <w:ind w:left="20" w:right="260" w:firstLine="0"/>
      </w:pPr>
      <w:r>
        <w:t>По мнению ряда журналистов, в России начала XXI века термин «экстремизм» приобрёл однозначно отрицательный смысл и главным образом используется в государственных СМИ с целью:</w:t>
      </w:r>
    </w:p>
    <w:p w:rsidR="00103CF2" w:rsidRDefault="00444C6B">
      <w:pPr>
        <w:pStyle w:val="1"/>
        <w:numPr>
          <w:ilvl w:val="0"/>
          <w:numId w:val="2"/>
        </w:numPr>
        <w:shd w:val="clear" w:color="auto" w:fill="auto"/>
        <w:tabs>
          <w:tab w:val="left" w:pos="740"/>
        </w:tabs>
        <w:spacing w:before="0" w:line="312" w:lineRule="exact"/>
        <w:ind w:left="740" w:right="520"/>
      </w:pPr>
      <w:r>
        <w:t>создания негативного имиджа и уголовного преследования общественных активистов, членов оппозиционных движений, независимых журналистов;</w:t>
      </w:r>
    </w:p>
    <w:p w:rsidR="00103CF2" w:rsidRDefault="00444C6B">
      <w:pPr>
        <w:pStyle w:val="1"/>
        <w:numPr>
          <w:ilvl w:val="0"/>
          <w:numId w:val="2"/>
        </w:numPr>
        <w:shd w:val="clear" w:color="auto" w:fill="auto"/>
        <w:tabs>
          <w:tab w:val="left" w:pos="740"/>
        </w:tabs>
        <w:spacing w:before="0" w:after="124" w:line="312" w:lineRule="exact"/>
        <w:ind w:left="740" w:right="800"/>
      </w:pPr>
      <w:r>
        <w:t>создания негативного имиджа националистических и/или религиозных движений и организаций, дискредитации их позиций и взглядов и легитимации их запрещения.</w:t>
      </w:r>
    </w:p>
    <w:p w:rsidR="00103CF2" w:rsidRDefault="00444C6B">
      <w:pPr>
        <w:pStyle w:val="1"/>
        <w:shd w:val="clear" w:color="auto" w:fill="auto"/>
        <w:spacing w:before="0"/>
        <w:ind w:left="20" w:right="200" w:firstLine="0"/>
      </w:pPr>
      <w:proofErr w:type="gramStart"/>
      <w:r>
        <w:t xml:space="preserve">9 июня 2011 года в ходе обсуждения проекта постановления пленума Верховного суда РФ по уголовным делам об экстремизме докладчик, судья Верховного суда Владимир Давыдов выразил </w:t>
      </w:r>
      <w:proofErr w:type="spellStart"/>
      <w:r>
        <w:t>обеспоконность</w:t>
      </w:r>
      <w:proofErr w:type="spellEnd"/>
      <w:r>
        <w:t xml:space="preserve"> и тем, что в законодательстве не прописано определение спорного понятия «социальная группа», предположил, что вводя подобный термин, «законодатель хотел оттенить слабые, незащищённые группы, но сделал это крайне неудачно».</w:t>
      </w:r>
      <w:proofErr w:type="gramEnd"/>
      <w:r>
        <w:t xml:space="preserve"> Было заявлено, что Верховный суд планирует в ожидании помощи от законодательной власти рекомендовать судам трактовать «социальные группы» ограничительно, а не расширительно — то есть, нарушения могут </w:t>
      </w:r>
      <w:proofErr w:type="gramStart"/>
      <w:r>
        <w:t>в быть</w:t>
      </w:r>
      <w:proofErr w:type="gramEnd"/>
      <w:r>
        <w:t xml:space="preserve"> в отношении «социально слабых групп» — пенсионеров, инвалидов, сирот. Однако в принятом постановлении термин «социальная группа» не был истолкован таким образом. </w:t>
      </w:r>
      <w:proofErr w:type="gramStart"/>
      <w:r>
        <w:t>Тем не менее, было указано, что критика в средствах массовой информации должностных лиц (профессиональных политиков), их действий и убеждений сама по себе не должна рассматриваться во всех случаях как действие, направленное на унижение достоинства человека или группы лиц, поскольку в отношении указанных лиц пределы допустимой критики шире, чем в отношении частных лиц.</w:t>
      </w:r>
      <w:proofErr w:type="gramEnd"/>
    </w:p>
    <w:p w:rsidR="00103CF2" w:rsidRDefault="00444C6B">
      <w:pPr>
        <w:pStyle w:val="1"/>
        <w:shd w:val="clear" w:color="auto" w:fill="auto"/>
        <w:spacing w:before="0" w:after="0"/>
        <w:ind w:left="20" w:right="200" w:firstLine="0"/>
      </w:pPr>
      <w:r>
        <w:t>Данное Постановление «О судебной практике по уголовным делам о преступлениях экстремистской направленности» было принято 28 июня 2011 г. и опубликовано в «Российской газете» 4 июля.</w:t>
      </w:r>
    </w:p>
    <w:sectPr w:rsidR="00103CF2">
      <w:type w:val="continuous"/>
      <w:pgSz w:w="11909" w:h="16838"/>
      <w:pgMar w:top="1235" w:right="1181" w:bottom="1235" w:left="12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CEC" w:rsidRDefault="00157CEC">
      <w:r>
        <w:separator/>
      </w:r>
    </w:p>
  </w:endnote>
  <w:endnote w:type="continuationSeparator" w:id="0">
    <w:p w:rsidR="00157CEC" w:rsidRDefault="0015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CEC" w:rsidRDefault="00157CEC"/>
  </w:footnote>
  <w:footnote w:type="continuationSeparator" w:id="0">
    <w:p w:rsidR="00157CEC" w:rsidRDefault="00157C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3DAB"/>
    <w:multiLevelType w:val="multilevel"/>
    <w:tmpl w:val="21EA6D3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EB4AEB"/>
    <w:multiLevelType w:val="multilevel"/>
    <w:tmpl w:val="B2447ECE"/>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F2"/>
    <w:rsid w:val="00103CF2"/>
    <w:rsid w:val="00157CEC"/>
    <w:rsid w:val="00444C6B"/>
    <w:rsid w:val="0069680C"/>
    <w:rsid w:val="00E8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1"/>
    <w:rPr>
      <w:rFonts w:ascii="Calibri" w:eastAsia="Calibri" w:hAnsi="Calibri" w:cs="Calibri"/>
      <w:b w:val="0"/>
      <w:bCs w:val="0"/>
      <w:i w:val="0"/>
      <w:iCs w:val="0"/>
      <w:smallCaps w:val="0"/>
      <w:strike w:val="0"/>
      <w:sz w:val="21"/>
      <w:szCs w:val="21"/>
      <w:u w:val="none"/>
    </w:rPr>
  </w:style>
  <w:style w:type="character" w:customStyle="1" w:styleId="10">
    <w:name w:val="Заголовок №1_"/>
    <w:basedOn w:val="a0"/>
    <w:link w:val="11"/>
    <w:rPr>
      <w:rFonts w:ascii="Calibri" w:eastAsia="Calibri" w:hAnsi="Calibri" w:cs="Calibri"/>
      <w:b/>
      <w:bCs/>
      <w:i w:val="0"/>
      <w:iCs w:val="0"/>
      <w:smallCaps w:val="0"/>
      <w:strike w:val="0"/>
      <w:sz w:val="21"/>
      <w:szCs w:val="21"/>
      <w:u w:val="none"/>
    </w:rPr>
  </w:style>
  <w:style w:type="character" w:customStyle="1" w:styleId="3">
    <w:name w:val="Основной текст (3)_"/>
    <w:basedOn w:val="a0"/>
    <w:link w:val="30"/>
    <w:rPr>
      <w:rFonts w:ascii="Calibri" w:eastAsia="Calibri" w:hAnsi="Calibri" w:cs="Calibri"/>
      <w:b w:val="0"/>
      <w:bCs w:val="0"/>
      <w:i/>
      <w:iCs/>
      <w:smallCaps w:val="0"/>
      <w:strike w:val="0"/>
      <w:sz w:val="20"/>
      <w:szCs w:val="20"/>
      <w:u w:val="none"/>
    </w:rPr>
  </w:style>
  <w:style w:type="character" w:customStyle="1" w:styleId="3105pt">
    <w:name w:val="Основной текст (3) + 10;5 pt;Полужирный"/>
    <w:basedOn w:val="3"/>
    <w:rPr>
      <w:rFonts w:ascii="Calibri" w:eastAsia="Calibri" w:hAnsi="Calibri" w:cs="Calibri"/>
      <w:b/>
      <w:bCs/>
      <w:i/>
      <w:iCs/>
      <w:smallCaps w:val="0"/>
      <w:strike w:val="0"/>
      <w:color w:val="000000"/>
      <w:spacing w:val="0"/>
      <w:w w:val="100"/>
      <w:position w:val="0"/>
      <w:sz w:val="21"/>
      <w:szCs w:val="21"/>
      <w:u w:val="none"/>
      <w:lang w:val="ru-RU"/>
    </w:rPr>
  </w:style>
  <w:style w:type="paragraph" w:customStyle="1" w:styleId="20">
    <w:name w:val="Основной текст (2)"/>
    <w:basedOn w:val="a"/>
    <w:link w:val="2"/>
    <w:pPr>
      <w:shd w:val="clear" w:color="auto" w:fill="FFFFFF"/>
      <w:spacing w:after="300" w:line="0" w:lineRule="atLeast"/>
    </w:pPr>
    <w:rPr>
      <w:rFonts w:ascii="Calibri" w:eastAsia="Calibri" w:hAnsi="Calibri" w:cs="Calibri"/>
      <w:b/>
      <w:bCs/>
      <w:sz w:val="21"/>
      <w:szCs w:val="21"/>
    </w:rPr>
  </w:style>
  <w:style w:type="paragraph" w:customStyle="1" w:styleId="1">
    <w:name w:val="Основной текст1"/>
    <w:basedOn w:val="a"/>
    <w:link w:val="a4"/>
    <w:pPr>
      <w:shd w:val="clear" w:color="auto" w:fill="FFFFFF"/>
      <w:spacing w:before="300" w:after="120" w:line="307" w:lineRule="exact"/>
      <w:ind w:hanging="360"/>
    </w:pPr>
    <w:rPr>
      <w:rFonts w:ascii="Calibri" w:eastAsia="Calibri" w:hAnsi="Calibri" w:cs="Calibri"/>
      <w:sz w:val="21"/>
      <w:szCs w:val="21"/>
    </w:rPr>
  </w:style>
  <w:style w:type="paragraph" w:customStyle="1" w:styleId="11">
    <w:name w:val="Заголовок №1"/>
    <w:basedOn w:val="a"/>
    <w:link w:val="10"/>
    <w:pPr>
      <w:shd w:val="clear" w:color="auto" w:fill="FFFFFF"/>
      <w:spacing w:before="480" w:after="300" w:line="0" w:lineRule="atLeast"/>
      <w:jc w:val="both"/>
      <w:outlineLvl w:val="0"/>
    </w:pPr>
    <w:rPr>
      <w:rFonts w:ascii="Calibri" w:eastAsia="Calibri" w:hAnsi="Calibri" w:cs="Calibri"/>
      <w:b/>
      <w:bCs/>
      <w:sz w:val="21"/>
      <w:szCs w:val="21"/>
    </w:rPr>
  </w:style>
  <w:style w:type="paragraph" w:customStyle="1" w:styleId="30">
    <w:name w:val="Основной текст (3)"/>
    <w:basedOn w:val="a"/>
    <w:link w:val="3"/>
    <w:pPr>
      <w:shd w:val="clear" w:color="auto" w:fill="FFFFFF"/>
      <w:spacing w:before="120" w:after="120" w:line="307" w:lineRule="exact"/>
    </w:pPr>
    <w:rPr>
      <w:rFonts w:ascii="Calibri" w:eastAsia="Calibri" w:hAnsi="Calibri" w:cs="Calibri"/>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1"/>
    <w:rPr>
      <w:rFonts w:ascii="Calibri" w:eastAsia="Calibri" w:hAnsi="Calibri" w:cs="Calibri"/>
      <w:b w:val="0"/>
      <w:bCs w:val="0"/>
      <w:i w:val="0"/>
      <w:iCs w:val="0"/>
      <w:smallCaps w:val="0"/>
      <w:strike w:val="0"/>
      <w:sz w:val="21"/>
      <w:szCs w:val="21"/>
      <w:u w:val="none"/>
    </w:rPr>
  </w:style>
  <w:style w:type="character" w:customStyle="1" w:styleId="10">
    <w:name w:val="Заголовок №1_"/>
    <w:basedOn w:val="a0"/>
    <w:link w:val="11"/>
    <w:rPr>
      <w:rFonts w:ascii="Calibri" w:eastAsia="Calibri" w:hAnsi="Calibri" w:cs="Calibri"/>
      <w:b/>
      <w:bCs/>
      <w:i w:val="0"/>
      <w:iCs w:val="0"/>
      <w:smallCaps w:val="0"/>
      <w:strike w:val="0"/>
      <w:sz w:val="21"/>
      <w:szCs w:val="21"/>
      <w:u w:val="none"/>
    </w:rPr>
  </w:style>
  <w:style w:type="character" w:customStyle="1" w:styleId="3">
    <w:name w:val="Основной текст (3)_"/>
    <w:basedOn w:val="a0"/>
    <w:link w:val="30"/>
    <w:rPr>
      <w:rFonts w:ascii="Calibri" w:eastAsia="Calibri" w:hAnsi="Calibri" w:cs="Calibri"/>
      <w:b w:val="0"/>
      <w:bCs w:val="0"/>
      <w:i/>
      <w:iCs/>
      <w:smallCaps w:val="0"/>
      <w:strike w:val="0"/>
      <w:sz w:val="20"/>
      <w:szCs w:val="20"/>
      <w:u w:val="none"/>
    </w:rPr>
  </w:style>
  <w:style w:type="character" w:customStyle="1" w:styleId="3105pt">
    <w:name w:val="Основной текст (3) + 10;5 pt;Полужирный"/>
    <w:basedOn w:val="3"/>
    <w:rPr>
      <w:rFonts w:ascii="Calibri" w:eastAsia="Calibri" w:hAnsi="Calibri" w:cs="Calibri"/>
      <w:b/>
      <w:bCs/>
      <w:i/>
      <w:iCs/>
      <w:smallCaps w:val="0"/>
      <w:strike w:val="0"/>
      <w:color w:val="000000"/>
      <w:spacing w:val="0"/>
      <w:w w:val="100"/>
      <w:position w:val="0"/>
      <w:sz w:val="21"/>
      <w:szCs w:val="21"/>
      <w:u w:val="none"/>
      <w:lang w:val="ru-RU"/>
    </w:rPr>
  </w:style>
  <w:style w:type="paragraph" w:customStyle="1" w:styleId="20">
    <w:name w:val="Основной текст (2)"/>
    <w:basedOn w:val="a"/>
    <w:link w:val="2"/>
    <w:pPr>
      <w:shd w:val="clear" w:color="auto" w:fill="FFFFFF"/>
      <w:spacing w:after="300" w:line="0" w:lineRule="atLeast"/>
    </w:pPr>
    <w:rPr>
      <w:rFonts w:ascii="Calibri" w:eastAsia="Calibri" w:hAnsi="Calibri" w:cs="Calibri"/>
      <w:b/>
      <w:bCs/>
      <w:sz w:val="21"/>
      <w:szCs w:val="21"/>
    </w:rPr>
  </w:style>
  <w:style w:type="paragraph" w:customStyle="1" w:styleId="1">
    <w:name w:val="Основной текст1"/>
    <w:basedOn w:val="a"/>
    <w:link w:val="a4"/>
    <w:pPr>
      <w:shd w:val="clear" w:color="auto" w:fill="FFFFFF"/>
      <w:spacing w:before="300" w:after="120" w:line="307" w:lineRule="exact"/>
      <w:ind w:hanging="360"/>
    </w:pPr>
    <w:rPr>
      <w:rFonts w:ascii="Calibri" w:eastAsia="Calibri" w:hAnsi="Calibri" w:cs="Calibri"/>
      <w:sz w:val="21"/>
      <w:szCs w:val="21"/>
    </w:rPr>
  </w:style>
  <w:style w:type="paragraph" w:customStyle="1" w:styleId="11">
    <w:name w:val="Заголовок №1"/>
    <w:basedOn w:val="a"/>
    <w:link w:val="10"/>
    <w:pPr>
      <w:shd w:val="clear" w:color="auto" w:fill="FFFFFF"/>
      <w:spacing w:before="480" w:after="300" w:line="0" w:lineRule="atLeast"/>
      <w:jc w:val="both"/>
      <w:outlineLvl w:val="0"/>
    </w:pPr>
    <w:rPr>
      <w:rFonts w:ascii="Calibri" w:eastAsia="Calibri" w:hAnsi="Calibri" w:cs="Calibri"/>
      <w:b/>
      <w:bCs/>
      <w:sz w:val="21"/>
      <w:szCs w:val="21"/>
    </w:rPr>
  </w:style>
  <w:style w:type="paragraph" w:customStyle="1" w:styleId="30">
    <w:name w:val="Основной текст (3)"/>
    <w:basedOn w:val="a"/>
    <w:link w:val="3"/>
    <w:pPr>
      <w:shd w:val="clear" w:color="auto" w:fill="FFFFFF"/>
      <w:spacing w:before="120" w:after="120" w:line="307" w:lineRule="exact"/>
    </w:pPr>
    <w:rPr>
      <w:rFonts w:ascii="Calibri" w:eastAsia="Calibri" w:hAnsi="Calibri" w:cs="Calibr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2695</Words>
  <Characters>15368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2019-02-27T10:44:00Z</dcterms:created>
  <dcterms:modified xsi:type="dcterms:W3CDTF">2019-02-27T10:51:00Z</dcterms:modified>
</cp:coreProperties>
</file>